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C7818" w14:textId="77777777" w:rsidR="00F3035D" w:rsidRPr="00D3642C" w:rsidRDefault="00F3035D" w:rsidP="00F3035D">
      <w:pPr>
        <w:pStyle w:val="Intestazione"/>
        <w:ind w:left="1560"/>
        <w:jc w:val="center"/>
        <w:rPr>
          <w:rFonts w:ascii="Arial Rounded MT Bold" w:eastAsia="Adobe Gothic Std B" w:hAnsi="Arial Rounded MT Bold"/>
          <w:color w:val="2F5496" w:themeColor="accent5" w:themeShade="BF"/>
          <w:sz w:val="44"/>
          <w:szCs w:val="44"/>
        </w:rPr>
      </w:pPr>
      <w:r w:rsidRPr="00D3642C">
        <w:rPr>
          <w:rFonts w:ascii="Arial Rounded MT Bold" w:eastAsia="Adobe Gothic Std B" w:hAnsi="Arial Rounded MT Bold"/>
          <w:noProof/>
          <w:color w:val="2F5496" w:themeColor="accent5" w:themeShade="BF"/>
          <w:sz w:val="44"/>
          <w:szCs w:val="44"/>
          <w:lang w:eastAsia="it-IT"/>
        </w:rPr>
        <w:drawing>
          <wp:anchor distT="0" distB="0" distL="114300" distR="114300" simplePos="0" relativeHeight="251661312" behindDoc="0" locked="0" layoutInCell="1" allowOverlap="1" wp14:anchorId="397C54BE" wp14:editId="71CBCCD2">
            <wp:simplePos x="0" y="0"/>
            <wp:positionH relativeFrom="column">
              <wp:posOffset>-567690</wp:posOffset>
            </wp:positionH>
            <wp:positionV relativeFrom="paragraph">
              <wp:posOffset>-302472</wp:posOffset>
            </wp:positionV>
            <wp:extent cx="1066800" cy="2476428"/>
            <wp:effectExtent l="0" t="0" r="0" b="635"/>
            <wp:wrapNone/>
            <wp:docPr id="467785000" name="Immagine 467785000" descr="Immagine che contiene Carattere, logo, testo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785000" name="Immagine 467785000" descr="Immagine che contiene Carattere, logo, testo, design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2476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642C">
        <w:rPr>
          <w:rFonts w:ascii="Arial Rounded MT Bold" w:eastAsia="Adobe Gothic Std B" w:hAnsi="Arial Rounded MT Bold"/>
          <w:color w:val="2F5496" w:themeColor="accent5" w:themeShade="BF"/>
          <w:sz w:val="44"/>
          <w:szCs w:val="44"/>
        </w:rPr>
        <w:t xml:space="preserve">Associazione Cimadori </w:t>
      </w:r>
    </w:p>
    <w:p w14:paraId="2987ECBD" w14:textId="77777777" w:rsidR="00F3035D" w:rsidRPr="00D3642C" w:rsidRDefault="00F3035D" w:rsidP="00F3035D">
      <w:pPr>
        <w:pStyle w:val="Intestazione"/>
        <w:ind w:left="1560"/>
        <w:jc w:val="center"/>
        <w:rPr>
          <w:rFonts w:ascii="Arial Rounded MT Bold" w:eastAsia="Adobe Gothic Std B" w:hAnsi="Arial Rounded MT Bold"/>
          <w:color w:val="2F5496" w:themeColor="accent5" w:themeShade="BF"/>
          <w:sz w:val="44"/>
          <w:szCs w:val="44"/>
        </w:rPr>
      </w:pPr>
      <w:r w:rsidRPr="00D3642C">
        <w:rPr>
          <w:rFonts w:ascii="Arial Rounded MT Bold" w:eastAsia="Adobe Gothic Std B" w:hAnsi="Arial Rounded MT Bold"/>
          <w:color w:val="2F5496" w:themeColor="accent5" w:themeShade="BF"/>
          <w:sz w:val="44"/>
          <w:szCs w:val="44"/>
        </w:rPr>
        <w:t xml:space="preserve">per la ricerca italiana </w:t>
      </w:r>
    </w:p>
    <w:p w14:paraId="5E91D517" w14:textId="77777777" w:rsidR="00F3035D" w:rsidRPr="00D3642C" w:rsidRDefault="00F3035D" w:rsidP="00F3035D">
      <w:pPr>
        <w:pStyle w:val="Intestazione"/>
        <w:ind w:left="1560"/>
        <w:jc w:val="center"/>
        <w:rPr>
          <w:rFonts w:ascii="Arial Rounded MT Bold" w:eastAsia="Adobe Gothic Std B" w:hAnsi="Arial Rounded MT Bold"/>
          <w:color w:val="2F5496" w:themeColor="accent5" w:themeShade="BF"/>
          <w:sz w:val="44"/>
          <w:szCs w:val="44"/>
        </w:rPr>
      </w:pPr>
      <w:r w:rsidRPr="00D3642C">
        <w:rPr>
          <w:rFonts w:ascii="Arial Rounded MT Bold" w:eastAsia="Adobe Gothic Std B" w:hAnsi="Arial Rounded MT Bold"/>
          <w:color w:val="2F5496" w:themeColor="accent5" w:themeShade="BF"/>
          <w:sz w:val="44"/>
          <w:szCs w:val="44"/>
        </w:rPr>
        <w:t>sulla sindrome di Down, l’autismo e il danno ce</w:t>
      </w:r>
      <w:r>
        <w:rPr>
          <w:rFonts w:ascii="Arial Rounded MT Bold" w:eastAsia="Adobe Gothic Std B" w:hAnsi="Arial Rounded MT Bold"/>
          <w:color w:val="2F5496" w:themeColor="accent5" w:themeShade="BF"/>
          <w:sz w:val="44"/>
          <w:szCs w:val="44"/>
        </w:rPr>
        <w:t>r</w:t>
      </w:r>
      <w:r w:rsidRPr="00D3642C">
        <w:rPr>
          <w:rFonts w:ascii="Arial Rounded MT Bold" w:eastAsia="Adobe Gothic Std B" w:hAnsi="Arial Rounded MT Bold"/>
          <w:color w:val="2F5496" w:themeColor="accent5" w:themeShade="BF"/>
          <w:sz w:val="44"/>
          <w:szCs w:val="44"/>
        </w:rPr>
        <w:t>ebrale</w:t>
      </w:r>
    </w:p>
    <w:p w14:paraId="1BA8C9AB" w14:textId="77777777" w:rsidR="00F3035D" w:rsidRPr="00D3642C" w:rsidRDefault="00F3035D" w:rsidP="00F3035D">
      <w:pPr>
        <w:pStyle w:val="Intestazione"/>
        <w:ind w:left="1560"/>
        <w:rPr>
          <w:rFonts w:ascii="Adobe Gothic Std B" w:eastAsia="Adobe Gothic Std B" w:hAnsi="Adobe Gothic Std B"/>
          <w:color w:val="2F5496" w:themeColor="accent5" w:themeShade="BF"/>
        </w:rPr>
      </w:pPr>
    </w:p>
    <w:p w14:paraId="354D77B1" w14:textId="77777777" w:rsidR="00F3035D" w:rsidRPr="00D3642C" w:rsidRDefault="00F3035D" w:rsidP="00F3035D">
      <w:pPr>
        <w:spacing w:after="0" w:line="240" w:lineRule="auto"/>
        <w:ind w:left="1560"/>
        <w:rPr>
          <w:rFonts w:ascii="Arial" w:eastAsia="Adobe Gothic Std B" w:hAnsi="Arial" w:cs="Arial"/>
          <w:color w:val="2F5496" w:themeColor="accent5" w:themeShade="BF"/>
          <w:sz w:val="24"/>
          <w:szCs w:val="24"/>
        </w:rPr>
      </w:pPr>
      <w:r w:rsidRPr="00D3642C">
        <w:rPr>
          <w:rFonts w:ascii="Arial" w:eastAsia="Adobe Gothic Std B" w:hAnsi="Arial" w:cs="Arial"/>
          <w:color w:val="2F5496" w:themeColor="accent5" w:themeShade="BF"/>
          <w:sz w:val="24"/>
          <w:szCs w:val="24"/>
        </w:rPr>
        <w:t>Sede</w:t>
      </w:r>
      <w:r>
        <w:rPr>
          <w:rFonts w:ascii="Arial" w:eastAsia="Adobe Gothic Std B" w:hAnsi="Arial" w:cs="Arial"/>
          <w:color w:val="2F5496" w:themeColor="accent5" w:themeShade="BF"/>
          <w:sz w:val="24"/>
          <w:szCs w:val="24"/>
        </w:rPr>
        <w:t>: c/o Hanau, via Paradiso,7</w:t>
      </w:r>
      <w:r w:rsidRPr="00D3642C">
        <w:rPr>
          <w:rFonts w:ascii="Arial" w:eastAsia="Adobe Gothic Std B" w:hAnsi="Arial" w:cs="Arial"/>
          <w:color w:val="2F5496" w:themeColor="accent5" w:themeShade="BF"/>
          <w:sz w:val="24"/>
          <w:szCs w:val="24"/>
        </w:rPr>
        <w:t xml:space="preserve"> – 4012</w:t>
      </w:r>
      <w:r>
        <w:rPr>
          <w:rFonts w:ascii="Arial" w:eastAsia="Adobe Gothic Std B" w:hAnsi="Arial" w:cs="Arial"/>
          <w:color w:val="2F5496" w:themeColor="accent5" w:themeShade="BF"/>
          <w:sz w:val="24"/>
          <w:szCs w:val="24"/>
        </w:rPr>
        <w:t>2</w:t>
      </w:r>
      <w:r w:rsidRPr="00D3642C">
        <w:rPr>
          <w:rFonts w:ascii="Arial" w:eastAsia="Adobe Gothic Std B" w:hAnsi="Arial" w:cs="Arial"/>
          <w:color w:val="2F5496" w:themeColor="accent5" w:themeShade="BF"/>
          <w:sz w:val="24"/>
          <w:szCs w:val="24"/>
        </w:rPr>
        <w:t xml:space="preserve"> Bologna</w:t>
      </w:r>
    </w:p>
    <w:p w14:paraId="77F5A195" w14:textId="77777777" w:rsidR="00F3035D" w:rsidRPr="00D3642C" w:rsidRDefault="00F3035D" w:rsidP="00F3035D">
      <w:pPr>
        <w:autoSpaceDE w:val="0"/>
        <w:autoSpaceDN w:val="0"/>
        <w:adjustRightInd w:val="0"/>
        <w:spacing w:after="0" w:line="240" w:lineRule="auto"/>
        <w:ind w:left="1560"/>
        <w:rPr>
          <w:rFonts w:ascii="Arial" w:eastAsia="Adobe Gothic Std B" w:hAnsi="Arial" w:cs="Arial"/>
          <w:color w:val="2F5496" w:themeColor="accent5" w:themeShade="BF"/>
          <w:sz w:val="24"/>
          <w:szCs w:val="24"/>
        </w:rPr>
      </w:pPr>
    </w:p>
    <w:p w14:paraId="2544BAA1" w14:textId="77777777" w:rsidR="00F3035D" w:rsidRDefault="00F3035D" w:rsidP="00F3035D">
      <w:pPr>
        <w:autoSpaceDE w:val="0"/>
        <w:autoSpaceDN w:val="0"/>
        <w:adjustRightInd w:val="0"/>
        <w:spacing w:after="0" w:line="240" w:lineRule="auto"/>
        <w:ind w:left="1560"/>
        <w:rPr>
          <w:rFonts w:ascii="Arial" w:eastAsia="Adobe Gothic Std B" w:hAnsi="Arial" w:cs="Arial"/>
          <w:color w:val="2F5496" w:themeColor="accent5" w:themeShade="BF"/>
          <w:sz w:val="24"/>
          <w:szCs w:val="24"/>
        </w:rPr>
      </w:pPr>
      <w:r>
        <w:rPr>
          <w:rFonts w:ascii="Arial" w:eastAsia="Adobe Gothic Std B" w:hAnsi="Arial" w:cs="Arial"/>
          <w:color w:val="2F5496" w:themeColor="accent5" w:themeShade="BF"/>
          <w:sz w:val="24"/>
          <w:szCs w:val="24"/>
        </w:rPr>
        <w:t>E-mail: Apri.associazione.C</w:t>
      </w:r>
      <w:r w:rsidRPr="00D3642C">
        <w:rPr>
          <w:rFonts w:ascii="Arial" w:eastAsia="Adobe Gothic Std B" w:hAnsi="Arial" w:cs="Arial"/>
          <w:color w:val="2F5496" w:themeColor="accent5" w:themeShade="BF"/>
          <w:sz w:val="24"/>
          <w:szCs w:val="24"/>
        </w:rPr>
        <w:t xml:space="preserve">imadori@gmail.com </w:t>
      </w:r>
    </w:p>
    <w:p w14:paraId="58B882BC" w14:textId="77777777" w:rsidR="00F3035D" w:rsidRPr="00D3642C" w:rsidRDefault="00F3035D" w:rsidP="00F3035D">
      <w:pPr>
        <w:autoSpaceDE w:val="0"/>
        <w:autoSpaceDN w:val="0"/>
        <w:adjustRightInd w:val="0"/>
        <w:spacing w:after="0" w:line="240" w:lineRule="auto"/>
        <w:ind w:left="1560"/>
        <w:rPr>
          <w:rFonts w:ascii="Arial" w:eastAsia="Adobe Gothic Std B" w:hAnsi="Arial" w:cs="Arial"/>
          <w:color w:val="2F5496" w:themeColor="accent5" w:themeShade="BF"/>
          <w:sz w:val="24"/>
          <w:szCs w:val="24"/>
        </w:rPr>
      </w:pPr>
      <w:r>
        <w:rPr>
          <w:rFonts w:ascii="Arial" w:eastAsia="Adobe Gothic Std B" w:hAnsi="Arial" w:cs="Arial"/>
          <w:color w:val="2F5496" w:themeColor="accent5" w:themeShade="BF"/>
          <w:sz w:val="24"/>
          <w:szCs w:val="24"/>
        </w:rPr>
        <w:t xml:space="preserve">Sito: </w:t>
      </w:r>
      <w:r w:rsidRPr="00F3035D">
        <w:rPr>
          <w:rFonts w:ascii="Arial" w:eastAsia="Adobe Gothic Std B" w:hAnsi="Arial" w:cs="Arial"/>
          <w:b/>
          <w:bCs/>
          <w:color w:val="2F5496" w:themeColor="accent5" w:themeShade="BF"/>
          <w:sz w:val="24"/>
          <w:szCs w:val="24"/>
        </w:rPr>
        <w:t>www.apriautismo.it</w:t>
      </w:r>
    </w:p>
    <w:p w14:paraId="1AD26393" w14:textId="093A1AC0" w:rsidR="00F3035D" w:rsidRDefault="00F3035D" w:rsidP="00F3035D">
      <w:pPr>
        <w:spacing w:after="0" w:line="240" w:lineRule="auto"/>
        <w:ind w:left="-426" w:hanging="141"/>
        <w:jc w:val="both"/>
        <w:rPr>
          <w:rFonts w:ascii="Arial" w:eastAsia="Adobe Gothic Std B" w:hAnsi="Arial" w:cs="Arial"/>
          <w:b/>
          <w:color w:val="2F5496" w:themeColor="accent5" w:themeShade="BF"/>
          <w:sz w:val="20"/>
          <w:szCs w:val="20"/>
        </w:rPr>
      </w:pPr>
    </w:p>
    <w:p w14:paraId="664E5479" w14:textId="77777777" w:rsidR="00F3035D" w:rsidRDefault="00F3035D" w:rsidP="00F3035D">
      <w:pPr>
        <w:spacing w:after="0" w:line="240" w:lineRule="auto"/>
        <w:ind w:left="-426" w:hanging="141"/>
        <w:jc w:val="both"/>
        <w:rPr>
          <w:rFonts w:ascii="Arial" w:eastAsia="Adobe Gothic Std B" w:hAnsi="Arial" w:cs="Arial"/>
          <w:b/>
          <w:color w:val="2F5496" w:themeColor="accent5" w:themeShade="BF"/>
          <w:sz w:val="20"/>
          <w:szCs w:val="20"/>
        </w:rPr>
      </w:pPr>
    </w:p>
    <w:p w14:paraId="5E69AE01" w14:textId="77777777" w:rsidR="00F3035D" w:rsidRDefault="00F3035D" w:rsidP="00F3035D">
      <w:pPr>
        <w:spacing w:after="0" w:line="240" w:lineRule="auto"/>
        <w:ind w:left="-426" w:hanging="141"/>
        <w:jc w:val="both"/>
        <w:rPr>
          <w:rFonts w:ascii="Arial" w:eastAsia="Adobe Gothic Std B" w:hAnsi="Arial" w:cs="Arial"/>
          <w:b/>
          <w:color w:val="2F5496" w:themeColor="accent5" w:themeShade="BF"/>
          <w:sz w:val="20"/>
          <w:szCs w:val="20"/>
        </w:rPr>
      </w:pPr>
    </w:p>
    <w:p w14:paraId="1355CAEB" w14:textId="1442B6C0" w:rsidR="00F3035D" w:rsidRPr="000C6267" w:rsidRDefault="00F3035D" w:rsidP="00F3035D">
      <w:pPr>
        <w:spacing w:after="0" w:line="240" w:lineRule="auto"/>
        <w:ind w:left="-426" w:hanging="141"/>
        <w:jc w:val="both"/>
        <w:rPr>
          <w:rFonts w:ascii="Arial" w:eastAsia="Adobe Gothic Std B" w:hAnsi="Arial" w:cs="Arial"/>
          <w:color w:val="2F5496" w:themeColor="accent5" w:themeShade="BF"/>
          <w:sz w:val="20"/>
          <w:szCs w:val="20"/>
        </w:rPr>
      </w:pPr>
      <w:r w:rsidRPr="00D077F6">
        <w:rPr>
          <w:rFonts w:ascii="Arial" w:eastAsia="Adobe Gothic Std B" w:hAnsi="Arial" w:cs="Arial"/>
          <w:b/>
          <w:color w:val="2F5496" w:themeColor="accent5" w:themeShade="BF"/>
          <w:sz w:val="20"/>
          <w:szCs w:val="20"/>
        </w:rPr>
        <w:t>CF 92027220372 (per devolvere il 5 per mille</w:t>
      </w:r>
      <w:r>
        <w:rPr>
          <w:rFonts w:ascii="Arial" w:eastAsia="Adobe Gothic Std B" w:hAnsi="Arial" w:cs="Arial"/>
          <w:color w:val="2F5496" w:themeColor="accent5" w:themeShade="BF"/>
          <w:sz w:val="20"/>
          <w:szCs w:val="20"/>
        </w:rPr>
        <w:t>).</w:t>
      </w:r>
    </w:p>
    <w:p w14:paraId="5D566007" w14:textId="77777777" w:rsidR="00F3035D" w:rsidRDefault="00F3035D" w:rsidP="00F3035D">
      <w:pPr>
        <w:spacing w:after="0" w:line="240" w:lineRule="auto"/>
        <w:ind w:left="-426" w:hanging="141"/>
        <w:jc w:val="both"/>
        <w:rPr>
          <w:rFonts w:ascii="Arial" w:eastAsia="Adobe Gothic Std B" w:hAnsi="Arial" w:cs="Arial"/>
          <w:color w:val="2F5496" w:themeColor="accent5" w:themeShade="BF"/>
          <w:sz w:val="20"/>
          <w:szCs w:val="20"/>
        </w:rPr>
      </w:pPr>
      <w:proofErr w:type="spellStart"/>
      <w:r>
        <w:rPr>
          <w:rFonts w:ascii="Arial" w:eastAsia="Adobe Gothic Std B" w:hAnsi="Arial" w:cs="Arial"/>
          <w:color w:val="2F5496" w:themeColor="accent5" w:themeShade="BF"/>
          <w:sz w:val="20"/>
          <w:szCs w:val="20"/>
        </w:rPr>
        <w:t>C</w:t>
      </w:r>
      <w:r w:rsidRPr="00D3642C">
        <w:rPr>
          <w:rFonts w:ascii="Arial" w:eastAsia="Adobe Gothic Std B" w:hAnsi="Arial" w:cs="Arial"/>
          <w:color w:val="2F5496" w:themeColor="accent5" w:themeShade="BF"/>
          <w:sz w:val="20"/>
          <w:szCs w:val="20"/>
        </w:rPr>
        <w:t>cb</w:t>
      </w:r>
      <w:proofErr w:type="spellEnd"/>
      <w:r w:rsidRPr="00D3642C">
        <w:rPr>
          <w:rFonts w:ascii="Arial" w:eastAsia="Adobe Gothic Std B" w:hAnsi="Arial" w:cs="Arial"/>
          <w:color w:val="2F5496" w:themeColor="accent5" w:themeShade="BF"/>
          <w:sz w:val="20"/>
          <w:szCs w:val="20"/>
        </w:rPr>
        <w:t xml:space="preserve"> UNICREDIT, Piazza Aldrovandi 12/a, </w:t>
      </w:r>
      <w:r>
        <w:rPr>
          <w:rFonts w:ascii="Arial" w:eastAsia="Adobe Gothic Std B" w:hAnsi="Arial" w:cs="Arial"/>
          <w:color w:val="2F5496" w:themeColor="accent5" w:themeShade="BF"/>
          <w:sz w:val="20"/>
          <w:szCs w:val="20"/>
        </w:rPr>
        <w:t xml:space="preserve">Bologna: </w:t>
      </w:r>
      <w:proofErr w:type="gramStart"/>
      <w:r w:rsidRPr="00F3035D">
        <w:rPr>
          <w:rFonts w:ascii="Arial" w:eastAsia="Adobe Gothic Std B" w:hAnsi="Arial" w:cs="Arial"/>
          <w:b/>
          <w:bCs/>
          <w:color w:val="2F5496" w:themeColor="accent5" w:themeShade="BF"/>
          <w:sz w:val="20"/>
          <w:szCs w:val="20"/>
        </w:rPr>
        <w:t>IBAN  IT</w:t>
      </w:r>
      <w:proofErr w:type="gramEnd"/>
      <w:r w:rsidRPr="00F3035D">
        <w:rPr>
          <w:rFonts w:ascii="Arial" w:eastAsia="Adobe Gothic Std B" w:hAnsi="Arial" w:cs="Arial"/>
          <w:b/>
          <w:bCs/>
          <w:color w:val="2F5496" w:themeColor="accent5" w:themeShade="BF"/>
          <w:sz w:val="20"/>
          <w:szCs w:val="20"/>
        </w:rPr>
        <w:t>22N0200802457000002759634</w:t>
      </w:r>
    </w:p>
    <w:p w14:paraId="55AED165" w14:textId="77777777" w:rsidR="00F3035D" w:rsidRPr="000C6267" w:rsidRDefault="00F3035D" w:rsidP="00F3035D">
      <w:pPr>
        <w:spacing w:after="0" w:line="240" w:lineRule="auto"/>
        <w:ind w:left="-426" w:hanging="141"/>
        <w:jc w:val="both"/>
        <w:rPr>
          <w:rFonts w:ascii="Arial" w:eastAsia="Adobe Gothic Std B" w:hAnsi="Arial" w:cs="Arial"/>
          <w:color w:val="2F5496" w:themeColor="accent5" w:themeShade="BF"/>
          <w:sz w:val="20"/>
          <w:szCs w:val="20"/>
        </w:rPr>
      </w:pPr>
      <w:r w:rsidRPr="00F3035D">
        <w:rPr>
          <w:rFonts w:ascii="Arial" w:eastAsia="Adobe Gothic Std B" w:hAnsi="Arial" w:cs="Arial"/>
          <w:b/>
          <w:bCs/>
          <w:color w:val="2F5496" w:themeColor="accent5" w:themeShade="BF"/>
          <w:sz w:val="20"/>
          <w:szCs w:val="20"/>
        </w:rPr>
        <w:t>Conto corrente postale n.606400</w:t>
      </w:r>
      <w:r>
        <w:rPr>
          <w:rFonts w:ascii="Arial" w:eastAsia="Adobe Gothic Std B" w:hAnsi="Arial" w:cs="Arial"/>
          <w:color w:val="2F5496" w:themeColor="accent5" w:themeShade="BF"/>
          <w:sz w:val="20"/>
          <w:szCs w:val="20"/>
        </w:rPr>
        <w:t>.</w:t>
      </w:r>
      <w:r w:rsidRPr="00902491">
        <w:rPr>
          <w:rFonts w:ascii="Arial" w:eastAsia="Adobe Gothic Std B" w:hAnsi="Arial" w:cs="Arial"/>
          <w:b/>
          <w:color w:val="2F5496" w:themeColor="accent5" w:themeShade="BF"/>
          <w:sz w:val="20"/>
          <w:szCs w:val="20"/>
        </w:rPr>
        <w:t xml:space="preserve"> </w:t>
      </w:r>
    </w:p>
    <w:p w14:paraId="17A8C9F5" w14:textId="77777777" w:rsidR="00F3035D" w:rsidRDefault="00F3035D" w:rsidP="0028725F">
      <w:pPr>
        <w:rPr>
          <w:b/>
        </w:rPr>
      </w:pPr>
    </w:p>
    <w:p w14:paraId="31B9A28B" w14:textId="2E647787" w:rsidR="006A682B" w:rsidRPr="006A682B" w:rsidRDefault="006A682B" w:rsidP="0028725F">
      <w:pPr>
        <w:rPr>
          <w:b/>
          <w:sz w:val="32"/>
          <w:szCs w:val="32"/>
        </w:rPr>
      </w:pPr>
      <w:r w:rsidRPr="006A682B">
        <w:rPr>
          <w:b/>
          <w:sz w:val="32"/>
          <w:szCs w:val="32"/>
        </w:rPr>
        <w:t>Occorrono fondi</w:t>
      </w:r>
      <w:r w:rsidRPr="006A682B">
        <w:rPr>
          <w:b/>
          <w:sz w:val="32"/>
          <w:szCs w:val="32"/>
        </w:rPr>
        <w:t xml:space="preserve"> per la ricerca</w:t>
      </w:r>
    </w:p>
    <w:p w14:paraId="202EF7A5" w14:textId="4CDD1806" w:rsidR="00672DCE" w:rsidRPr="006A682B" w:rsidRDefault="006A682B" w:rsidP="0028725F">
      <w:pPr>
        <w:rPr>
          <w:sz w:val="24"/>
          <w:szCs w:val="24"/>
        </w:rPr>
      </w:pPr>
      <w:r w:rsidRPr="006A682B">
        <w:rPr>
          <w:b/>
          <w:sz w:val="24"/>
          <w:szCs w:val="24"/>
        </w:rPr>
        <w:t>Autismo: d</w:t>
      </w:r>
      <w:r w:rsidR="0028725F" w:rsidRPr="006A682B">
        <w:rPr>
          <w:b/>
          <w:sz w:val="24"/>
          <w:szCs w:val="24"/>
        </w:rPr>
        <w:t xml:space="preserve">alla ricerca </w:t>
      </w:r>
      <w:r w:rsidR="0028725F" w:rsidRPr="006A682B">
        <w:rPr>
          <w:b/>
          <w:sz w:val="24"/>
          <w:szCs w:val="24"/>
        </w:rPr>
        <w:t xml:space="preserve">scientifica biomedica sulle cause dell’autismo </w:t>
      </w:r>
      <w:r w:rsidR="0028725F" w:rsidRPr="006A682B">
        <w:rPr>
          <w:b/>
          <w:sz w:val="24"/>
          <w:szCs w:val="24"/>
        </w:rPr>
        <w:t xml:space="preserve">può venire </w:t>
      </w:r>
      <w:r w:rsidR="0028725F" w:rsidRPr="006A682B">
        <w:rPr>
          <w:b/>
          <w:sz w:val="24"/>
          <w:szCs w:val="24"/>
        </w:rPr>
        <w:t>una</w:t>
      </w:r>
      <w:r w:rsidR="0028725F" w:rsidRPr="006A682B">
        <w:rPr>
          <w:b/>
          <w:sz w:val="24"/>
          <w:szCs w:val="24"/>
        </w:rPr>
        <w:t xml:space="preserve"> risposta ai problemi </w:t>
      </w:r>
      <w:r w:rsidR="0028725F" w:rsidRPr="006A682B">
        <w:rPr>
          <w:b/>
          <w:sz w:val="24"/>
          <w:szCs w:val="24"/>
        </w:rPr>
        <w:t>gravi</w:t>
      </w:r>
      <w:r w:rsidR="00672DCE" w:rsidRPr="006A682B">
        <w:rPr>
          <w:b/>
          <w:sz w:val="24"/>
          <w:szCs w:val="24"/>
        </w:rPr>
        <w:t xml:space="preserve"> che provoca</w:t>
      </w:r>
      <w:r w:rsidR="0028725F" w:rsidRPr="006A682B">
        <w:rPr>
          <w:b/>
          <w:sz w:val="24"/>
          <w:szCs w:val="24"/>
        </w:rPr>
        <w:t>.</w:t>
      </w:r>
      <w:r w:rsidR="00672DCE" w:rsidRPr="006A682B">
        <w:rPr>
          <w:b/>
          <w:sz w:val="24"/>
          <w:szCs w:val="24"/>
        </w:rPr>
        <w:t xml:space="preserve"> </w:t>
      </w:r>
    </w:p>
    <w:p w14:paraId="4AE6AC7E" w14:textId="0350D16B" w:rsidR="00505E46" w:rsidRPr="0028725F" w:rsidRDefault="00EC428F" w:rsidP="00CB2069">
      <w:pPr>
        <w:pStyle w:val="Titolo1"/>
        <w:rPr>
          <w:rFonts w:asciiTheme="minorHAnsi" w:hAnsiTheme="minorHAnsi" w:cs="Calibri"/>
          <w:bCs w:val="0"/>
          <w:color w:val="000000"/>
          <w:sz w:val="22"/>
          <w:szCs w:val="22"/>
          <w:shd w:val="clear" w:color="auto" w:fill="FFFFFF"/>
        </w:rPr>
      </w:pPr>
      <w:r w:rsidRPr="0028725F">
        <w:rPr>
          <w:rFonts w:asciiTheme="minorHAnsi" w:hAnsiTheme="minorHAnsi" w:cs="Calibri"/>
          <w:bCs w:val="0"/>
          <w:color w:val="000000"/>
          <w:sz w:val="22"/>
          <w:szCs w:val="22"/>
          <w:shd w:val="clear" w:color="auto" w:fill="FFFFFF"/>
        </w:rPr>
        <w:t>A.P.R.I. promuove da oltre un decennio la ricerca biomedica sull’autismo che</w:t>
      </w:r>
      <w:r w:rsidR="001708CE" w:rsidRPr="0028725F">
        <w:rPr>
          <w:rFonts w:asciiTheme="minorHAnsi" w:hAnsiTheme="minorHAnsi" w:cs="Calibri"/>
          <w:bCs w:val="0"/>
          <w:color w:val="000000"/>
          <w:sz w:val="22"/>
          <w:szCs w:val="22"/>
          <w:shd w:val="clear" w:color="auto" w:fill="FFFFFF"/>
        </w:rPr>
        <w:t xml:space="preserve"> in primis</w:t>
      </w:r>
      <w:r w:rsidRPr="0028725F">
        <w:rPr>
          <w:rFonts w:asciiTheme="minorHAnsi" w:hAnsiTheme="minorHAnsi" w:cs="Calibri"/>
          <w:bCs w:val="0"/>
          <w:color w:val="000000"/>
          <w:sz w:val="22"/>
          <w:szCs w:val="22"/>
          <w:shd w:val="clear" w:color="auto" w:fill="FFFFFF"/>
        </w:rPr>
        <w:t xml:space="preserve"> fa riferimento su ricercatori dell’Università di Bologna, sia giovani sia </w:t>
      </w:r>
      <w:proofErr w:type="gramStart"/>
      <w:r w:rsidRPr="0028725F">
        <w:rPr>
          <w:rFonts w:asciiTheme="minorHAnsi" w:hAnsiTheme="minorHAnsi" w:cs="Calibri"/>
          <w:bCs w:val="0"/>
          <w:color w:val="000000"/>
          <w:sz w:val="22"/>
          <w:szCs w:val="22"/>
          <w:shd w:val="clear" w:color="auto" w:fill="FFFFFF"/>
        </w:rPr>
        <w:t>chi nel frattempo</w:t>
      </w:r>
      <w:proofErr w:type="gramEnd"/>
      <w:r w:rsidRPr="0028725F">
        <w:rPr>
          <w:rFonts w:asciiTheme="minorHAnsi" w:hAnsiTheme="minorHAnsi" w:cs="Calibri"/>
          <w:bCs w:val="0"/>
          <w:color w:val="000000"/>
          <w:sz w:val="22"/>
          <w:szCs w:val="22"/>
          <w:shd w:val="clear" w:color="auto" w:fill="FFFFFF"/>
        </w:rPr>
        <w:t xml:space="preserve"> è andato in quiescenza, che continua a lavorare gratuitamente per amore della scienza, sostenendo anche con </w:t>
      </w:r>
      <w:r w:rsidR="001708CE" w:rsidRPr="0028725F">
        <w:rPr>
          <w:rFonts w:asciiTheme="minorHAnsi" w:hAnsiTheme="minorHAnsi" w:cs="Calibri"/>
          <w:bCs w:val="0"/>
          <w:color w:val="000000"/>
          <w:sz w:val="22"/>
          <w:szCs w:val="22"/>
          <w:shd w:val="clear" w:color="auto" w:fill="FFFFFF"/>
        </w:rPr>
        <w:t xml:space="preserve">proprie </w:t>
      </w:r>
      <w:r w:rsidRPr="0028725F">
        <w:rPr>
          <w:rFonts w:asciiTheme="minorHAnsi" w:hAnsiTheme="minorHAnsi" w:cs="Calibri"/>
          <w:bCs w:val="0"/>
          <w:color w:val="000000"/>
          <w:sz w:val="22"/>
          <w:szCs w:val="22"/>
          <w:shd w:val="clear" w:color="auto" w:fill="FFFFFF"/>
        </w:rPr>
        <w:t xml:space="preserve">donazioni il bilancio dell’Associazione. </w:t>
      </w:r>
    </w:p>
    <w:p w14:paraId="6CACB043" w14:textId="7E602E8C" w:rsidR="00505E46" w:rsidRPr="0028725F" w:rsidRDefault="00505E46" w:rsidP="00CB2069">
      <w:pPr>
        <w:pStyle w:val="Titolo1"/>
        <w:rPr>
          <w:rFonts w:asciiTheme="minorHAnsi" w:hAnsiTheme="minorHAnsi" w:cs="Calibri"/>
          <w:bCs w:val="0"/>
          <w:color w:val="000000"/>
          <w:sz w:val="22"/>
          <w:szCs w:val="22"/>
          <w:shd w:val="clear" w:color="auto" w:fill="FFFFFF"/>
        </w:rPr>
      </w:pPr>
      <w:r w:rsidRPr="0028725F">
        <w:rPr>
          <w:rFonts w:asciiTheme="minorHAnsi" w:hAnsiTheme="minorHAnsi" w:cs="Calibri"/>
          <w:bCs w:val="0"/>
          <w:color w:val="000000"/>
          <w:sz w:val="22"/>
          <w:szCs w:val="22"/>
          <w:shd w:val="clear" w:color="auto" w:fill="FFFFFF"/>
        </w:rPr>
        <w:t>A.P.R.I. f</w:t>
      </w:r>
      <w:r w:rsidR="00EC428F" w:rsidRPr="0028725F">
        <w:rPr>
          <w:rFonts w:asciiTheme="minorHAnsi" w:hAnsiTheme="minorHAnsi" w:cs="Calibri"/>
          <w:bCs w:val="0"/>
          <w:color w:val="000000"/>
          <w:sz w:val="22"/>
          <w:szCs w:val="22"/>
          <w:shd w:val="clear" w:color="auto" w:fill="FFFFFF"/>
        </w:rPr>
        <w:t xml:space="preserve">ino ad ora ha destinato alla ricerca quasi </w:t>
      </w:r>
      <w:proofErr w:type="spellStart"/>
      <w:r w:rsidR="00EC428F" w:rsidRPr="0028725F">
        <w:rPr>
          <w:rFonts w:asciiTheme="minorHAnsi" w:hAnsiTheme="minorHAnsi" w:cs="Calibri"/>
          <w:bCs w:val="0"/>
          <w:color w:val="000000"/>
          <w:sz w:val="22"/>
          <w:szCs w:val="22"/>
          <w:shd w:val="clear" w:color="auto" w:fill="FFFFFF"/>
        </w:rPr>
        <w:t>trecentomia</w:t>
      </w:r>
      <w:proofErr w:type="spellEnd"/>
      <w:r w:rsidR="00EC428F" w:rsidRPr="0028725F">
        <w:rPr>
          <w:rFonts w:asciiTheme="minorHAnsi" w:hAnsiTheme="minorHAnsi" w:cs="Calibri"/>
          <w:bCs w:val="0"/>
          <w:color w:val="000000"/>
          <w:sz w:val="22"/>
          <w:szCs w:val="22"/>
          <w:shd w:val="clear" w:color="auto" w:fill="FFFFFF"/>
        </w:rPr>
        <w:t xml:space="preserve"> </w:t>
      </w:r>
      <w:proofErr w:type="gramStart"/>
      <w:r w:rsidR="00EC428F" w:rsidRPr="0028725F">
        <w:rPr>
          <w:rFonts w:asciiTheme="minorHAnsi" w:hAnsiTheme="minorHAnsi" w:cs="Calibri"/>
          <w:bCs w:val="0"/>
          <w:color w:val="000000"/>
          <w:sz w:val="22"/>
          <w:szCs w:val="22"/>
          <w:shd w:val="clear" w:color="auto" w:fill="FFFFFF"/>
        </w:rPr>
        <w:t>Euro</w:t>
      </w:r>
      <w:proofErr w:type="gramEnd"/>
      <w:r w:rsidR="00EC428F" w:rsidRPr="0028725F">
        <w:rPr>
          <w:rFonts w:asciiTheme="minorHAnsi" w:hAnsiTheme="minorHAnsi" w:cs="Calibri"/>
          <w:bCs w:val="0"/>
          <w:color w:val="000000"/>
          <w:sz w:val="22"/>
          <w:szCs w:val="22"/>
          <w:shd w:val="clear" w:color="auto" w:fill="FFFFFF"/>
        </w:rPr>
        <w:t xml:space="preserve">, </w:t>
      </w:r>
      <w:r w:rsidRPr="0028725F">
        <w:rPr>
          <w:rFonts w:asciiTheme="minorHAnsi" w:hAnsiTheme="minorHAnsi" w:cs="Calibri"/>
          <w:bCs w:val="0"/>
          <w:color w:val="000000"/>
          <w:sz w:val="22"/>
          <w:szCs w:val="22"/>
          <w:shd w:val="clear" w:color="auto" w:fill="FFFFFF"/>
        </w:rPr>
        <w:t>promuovendo stanziamenti molto più consistenti da parte di Fondazioni e Enti pubblici e privati, da ultimo quelli della Fondazione Italiana Autismo (FIA) di cui A.P.R.I. è fondatrice.</w:t>
      </w:r>
    </w:p>
    <w:p w14:paraId="2E6F9C40" w14:textId="24211CCC" w:rsidR="00505E46" w:rsidRPr="006A682B" w:rsidRDefault="00505E46" w:rsidP="00CB2069">
      <w:pPr>
        <w:pStyle w:val="Titolo1"/>
        <w:rPr>
          <w:rFonts w:asciiTheme="minorHAnsi" w:hAnsiTheme="minorHAnsi" w:cs="Calibri"/>
          <w:bCs w:val="0"/>
          <w:color w:val="000000"/>
          <w:sz w:val="28"/>
          <w:szCs w:val="28"/>
          <w:shd w:val="clear" w:color="auto" w:fill="FFFFFF"/>
        </w:rPr>
      </w:pPr>
      <w:r w:rsidRPr="0028725F">
        <w:rPr>
          <w:rFonts w:asciiTheme="minorHAnsi" w:hAnsiTheme="minorHAnsi" w:cs="Calibri"/>
          <w:bCs w:val="0"/>
          <w:color w:val="000000"/>
          <w:sz w:val="22"/>
          <w:szCs w:val="22"/>
          <w:shd w:val="clear" w:color="auto" w:fill="FFFFFF"/>
        </w:rPr>
        <w:t xml:space="preserve">Chiediamo ai privati, in particolare a coloro che meglio conoscono la gravità dell’autismo profondo dei bambini, perché ne costituiscono l’intorno familiare e sociale, di </w:t>
      </w:r>
      <w:r w:rsidRPr="006A682B">
        <w:rPr>
          <w:rFonts w:asciiTheme="minorHAnsi" w:hAnsiTheme="minorHAnsi" w:cs="Calibri"/>
          <w:bCs w:val="0"/>
          <w:color w:val="000000"/>
          <w:sz w:val="28"/>
          <w:szCs w:val="28"/>
          <w:shd w:val="clear" w:color="auto" w:fill="FFFFFF"/>
        </w:rPr>
        <w:t>sostenere il fine dell’A.P.R.I. con il 5 per mille, con donazioni e con lasciti.</w:t>
      </w:r>
    </w:p>
    <w:p w14:paraId="6828A52D" w14:textId="59906DDF" w:rsidR="00CB2069" w:rsidRPr="0028725F" w:rsidRDefault="00505E46" w:rsidP="00CB2069">
      <w:pPr>
        <w:pStyle w:val="Titolo1"/>
        <w:rPr>
          <w:rFonts w:asciiTheme="minorHAnsi" w:hAnsiTheme="minorHAnsi" w:cs="Calibri"/>
          <w:bCs w:val="0"/>
          <w:color w:val="000000"/>
          <w:sz w:val="22"/>
          <w:szCs w:val="22"/>
          <w:shd w:val="clear" w:color="auto" w:fill="FFFFFF"/>
        </w:rPr>
      </w:pPr>
      <w:r w:rsidRPr="0028725F">
        <w:rPr>
          <w:rFonts w:asciiTheme="minorHAnsi" w:hAnsiTheme="minorHAnsi" w:cs="Calibri"/>
          <w:bCs w:val="0"/>
          <w:color w:val="000000"/>
          <w:sz w:val="22"/>
          <w:szCs w:val="22"/>
          <w:shd w:val="clear" w:color="auto" w:fill="FFFFFF"/>
        </w:rPr>
        <w:t>La ricerca attuale più promettente è quella su</w:t>
      </w:r>
      <w:r w:rsidR="001708CE" w:rsidRPr="0028725F">
        <w:rPr>
          <w:rFonts w:asciiTheme="minorHAnsi" w:hAnsiTheme="minorHAnsi" w:cs="Calibri"/>
          <w:bCs w:val="0"/>
          <w:color w:val="000000"/>
          <w:sz w:val="22"/>
          <w:szCs w:val="22"/>
          <w:shd w:val="clear" w:color="auto" w:fill="FFFFFF"/>
        </w:rPr>
        <w:t xml:space="preserve"> “</w:t>
      </w:r>
      <w:r w:rsidR="00CB2069" w:rsidRPr="0028725F">
        <w:rPr>
          <w:rFonts w:asciiTheme="minorHAnsi" w:hAnsiTheme="minorHAnsi" w:cs="Calibri"/>
          <w:bCs w:val="0"/>
          <w:i/>
          <w:iCs/>
          <w:color w:val="000000"/>
          <w:sz w:val="22"/>
          <w:szCs w:val="22"/>
          <w:shd w:val="clear" w:color="auto" w:fill="FFFFFF"/>
        </w:rPr>
        <w:t>BIOMARCATORI CLINICI, BIOCHIMICI, IMMUNOLOGICI E MICROBIOLOGICI NEI BAMBINI CON DISTURBO DI SPETTRO AUTISTICO: BASI PER UN ASSESSMENT COERENTE CON UN MODELLO PATOGENETICO COMPLESSO</w:t>
      </w:r>
      <w:r w:rsidR="001708CE" w:rsidRPr="0028725F">
        <w:rPr>
          <w:rFonts w:asciiTheme="minorHAnsi" w:hAnsiTheme="minorHAnsi" w:cs="Calibri"/>
          <w:bCs w:val="0"/>
          <w:i/>
          <w:iCs/>
          <w:color w:val="000000"/>
          <w:sz w:val="22"/>
          <w:szCs w:val="22"/>
          <w:shd w:val="clear" w:color="auto" w:fill="FFFFFF"/>
        </w:rPr>
        <w:t>”</w:t>
      </w:r>
      <w:r w:rsidRPr="0028725F">
        <w:rPr>
          <w:rFonts w:asciiTheme="minorHAnsi" w:hAnsiTheme="minorHAnsi" w:cs="Calibri"/>
          <w:bCs w:val="0"/>
          <w:color w:val="000000"/>
          <w:sz w:val="22"/>
          <w:szCs w:val="22"/>
          <w:shd w:val="clear" w:color="auto" w:fill="FFFFFF"/>
        </w:rPr>
        <w:t>.</w:t>
      </w:r>
    </w:p>
    <w:p w14:paraId="40E9AC2D" w14:textId="77777777" w:rsidR="001D1821" w:rsidRDefault="002850D2">
      <w:r>
        <w:t>Il progetto parte da</w:t>
      </w:r>
      <w:r w:rsidR="005C5F53">
        <w:t xml:space="preserve"> due presupposti A) la base genetica dell’</w:t>
      </w:r>
      <w:r w:rsidR="005C5F53" w:rsidRPr="001D1821">
        <w:rPr>
          <w:b/>
        </w:rPr>
        <w:t>autismo</w:t>
      </w:r>
      <w:r w:rsidR="005C5F53">
        <w:t xml:space="preserve"> </w:t>
      </w:r>
      <w:r w:rsidR="005C5F53" w:rsidRPr="001D1821">
        <w:rPr>
          <w:b/>
        </w:rPr>
        <w:t>idiopatico</w:t>
      </w:r>
      <w:r w:rsidR="005C5F53">
        <w:t xml:space="preserve"> è molto variegata; si può dire che, a parte i gemelli omozigoti, non ci siano 2 pazienti con le stesse anomalie genetiche; </w:t>
      </w:r>
      <w:proofErr w:type="gramStart"/>
      <w:r w:rsidR="005C5F53">
        <w:t>tuttavia</w:t>
      </w:r>
      <w:proofErr w:type="gramEnd"/>
      <w:r w:rsidR="005C5F53">
        <w:t xml:space="preserve"> </w:t>
      </w:r>
      <w:r w:rsidR="00824C54">
        <w:t xml:space="preserve">la condizione è ben riconoscibile, ossia i </w:t>
      </w:r>
      <w:r w:rsidR="00267731">
        <w:t>pazienti differiscono tra loro più per la gravità dei sintomi che per la loro “qualità”,</w:t>
      </w:r>
      <w:r w:rsidR="00824C54">
        <w:t xml:space="preserve"> indipendentemente dalla </w:t>
      </w:r>
      <w:r w:rsidR="00267731">
        <w:t xml:space="preserve">loro </w:t>
      </w:r>
      <w:r w:rsidR="00824C54">
        <w:t xml:space="preserve">base genetica e dal momento della presentazione </w:t>
      </w:r>
      <w:r w:rsidR="00267731">
        <w:t xml:space="preserve">della patologia </w:t>
      </w:r>
      <w:r w:rsidR="00824C54">
        <w:t>(precoce o tardiva</w:t>
      </w:r>
      <w:r w:rsidR="00267731">
        <w:t>).</w:t>
      </w:r>
      <w:r w:rsidR="00824C54">
        <w:t xml:space="preserve"> </w:t>
      </w:r>
      <w:r w:rsidR="00824C54" w:rsidRPr="001D1821">
        <w:rPr>
          <w:i/>
        </w:rPr>
        <w:t>A questa</w:t>
      </w:r>
      <w:r w:rsidR="00824C54">
        <w:t xml:space="preserve"> </w:t>
      </w:r>
      <w:r w:rsidR="00824C54" w:rsidRPr="004E0417">
        <w:rPr>
          <w:i/>
        </w:rPr>
        <w:t>eterogeneità genetica corrisponde</w:t>
      </w:r>
      <w:r w:rsidR="00267731">
        <w:rPr>
          <w:i/>
        </w:rPr>
        <w:t xml:space="preserve"> poi</w:t>
      </w:r>
      <w:r w:rsidR="00824C54" w:rsidRPr="004E0417">
        <w:rPr>
          <w:i/>
        </w:rPr>
        <w:t xml:space="preserve"> una stupefacente somiglianza in alcuni parametri biologici, </w:t>
      </w:r>
      <w:r w:rsidR="00824C54">
        <w:t>ad esempio lo stress ossidativo o la bassa attività di un enzima dei globuli rossi. B) Poiché non è pensabile</w:t>
      </w:r>
      <w:r w:rsidR="004E0417">
        <w:t xml:space="preserve"> sviluppare a breve</w:t>
      </w:r>
      <w:r w:rsidR="00824C54">
        <w:t xml:space="preserve"> una terapia che coinvolga il GENOTIPO</w:t>
      </w:r>
      <w:r w:rsidR="004E0417">
        <w:t xml:space="preserve"> (</w:t>
      </w:r>
      <w:r w:rsidR="001D1821">
        <w:t>terapia genica)</w:t>
      </w:r>
      <w:r w:rsidR="00824C54">
        <w:t xml:space="preserve">, </w:t>
      </w:r>
      <w:r w:rsidR="00824C54">
        <w:lastRenderedPageBreak/>
        <w:t>si può i</w:t>
      </w:r>
      <w:r w:rsidR="00267731">
        <w:t xml:space="preserve">nvece provare a normalizzare </w:t>
      </w:r>
      <w:r w:rsidR="00824C54">
        <w:t xml:space="preserve">gli aspetti </w:t>
      </w:r>
      <w:r w:rsidR="00267731">
        <w:t xml:space="preserve">anomali </w:t>
      </w:r>
      <w:r w:rsidR="00824C54">
        <w:t>del FENOTIPO (ovvero quei parametri anomali che sono comuni a molti o addirittura a tutti i pazienti)</w:t>
      </w:r>
      <w:r w:rsidR="001D1821">
        <w:t xml:space="preserve">. </w:t>
      </w:r>
    </w:p>
    <w:p w14:paraId="5F7F0C18" w14:textId="4EB4188C" w:rsidR="00382C17" w:rsidRDefault="00F11546">
      <w:r>
        <w:t xml:space="preserve">A tale fine il progetto prevede una prima fase </w:t>
      </w:r>
      <w:r w:rsidR="00C41019">
        <w:t>in cui saranno acquisiti dati clinici e</w:t>
      </w:r>
      <w:r w:rsidR="0086309A">
        <w:t xml:space="preserve"> </w:t>
      </w:r>
      <w:r w:rsidR="00C41019">
        <w:t>n</w:t>
      </w:r>
      <w:r>
        <w:t>umerosissimi parametri biochimici, biologici, microbiologici e</w:t>
      </w:r>
      <w:r w:rsidR="001D1821">
        <w:t xml:space="preserve">d </w:t>
      </w:r>
      <w:r>
        <w:t>epigenetic</w:t>
      </w:r>
      <w:r w:rsidR="001D1821">
        <w:t>i</w:t>
      </w:r>
      <w:r>
        <w:t xml:space="preserve">, che verranno </w:t>
      </w:r>
      <w:r w:rsidR="00824C54">
        <w:t>valutati per capire quali alterazioni riguardano TUTTI i pazienti o</w:t>
      </w:r>
      <w:r w:rsidR="001D1821">
        <w:t>, se riguardano solo una parte dei soggetti,</w:t>
      </w:r>
      <w:r w:rsidR="00824C54">
        <w:t xml:space="preserve"> se possono contribuire a delineare dei SOTTOGRUPPI; inoltre tali parametri saranno </w:t>
      </w:r>
      <w:r>
        <w:t xml:space="preserve">correlati tra loro per vedere se ci sono associazioni significative (ad esempio, una particolare composizione del microbiota comporta </w:t>
      </w:r>
      <w:r w:rsidRPr="00F11546">
        <w:rPr>
          <w:i/>
        </w:rPr>
        <w:t>specifici</w:t>
      </w:r>
      <w:r>
        <w:t xml:space="preserve"> problemi clinici, come costipazione? Un maggior stress ossidativo correla con indicatori di infiammazione?)</w:t>
      </w:r>
      <w:r w:rsidR="001D1821">
        <w:t xml:space="preserve"> e per capire la loro rilevanza nella patologia o in alcuni sintomi (es. eccitabilità, insonnia..</w:t>
      </w:r>
      <w:r>
        <w:t>.</w:t>
      </w:r>
      <w:r w:rsidR="001D1821">
        <w:t>).</w:t>
      </w:r>
      <w:r w:rsidR="005C5F53">
        <w:t xml:space="preserve"> </w:t>
      </w:r>
      <w:r w:rsidR="0086309A">
        <w:t xml:space="preserve"> In breve, si raccoglierà una massa enorme di dati, che migliorerà decisamente le conoscenze e aiuterà a formulare delle soluzioni. </w:t>
      </w:r>
    </w:p>
    <w:p w14:paraId="27FFD514" w14:textId="7FFDDAFE" w:rsidR="00CE2F20" w:rsidRDefault="0086309A">
      <w:r>
        <w:t>Infatti, la fase successiva consisterà nello studio dei sottogruppi così individuati per evidenziare, in ciascuno di essi, eventuali carenze nutrizionali o alterazioni di metabolismi specifici, al fine di formulare suggerimenti terapeutici mirati. Riteniamo che i</w:t>
      </w:r>
      <w:r w:rsidR="001D1821">
        <w:t xml:space="preserve"> trattament</w:t>
      </w:r>
      <w:r>
        <w:t>i</w:t>
      </w:r>
      <w:r w:rsidR="001D1821">
        <w:t xml:space="preserve"> potrebbe</w:t>
      </w:r>
      <w:r>
        <w:t>ro essere efficaci</w:t>
      </w:r>
      <w:r w:rsidR="001D1821">
        <w:t xml:space="preserve"> per ridurre l’incidenza di alcuni sintomi</w:t>
      </w:r>
      <w:r>
        <w:t>, ma non per risolvere il problema alla base</w:t>
      </w:r>
      <w:r w:rsidR="001D1821">
        <w:t xml:space="preserve">. </w:t>
      </w:r>
      <w:r>
        <w:t>Infatti, po</w:t>
      </w:r>
      <w:r w:rsidR="001D1821">
        <w:t>iché l’autismo è un problema del neurosviluppo, gli effetti p</w:t>
      </w:r>
      <w:r>
        <w:t>otrebbero</w:t>
      </w:r>
      <w:r w:rsidR="001D1821">
        <w:t xml:space="preserve"> </w:t>
      </w:r>
      <w:r>
        <w:t>rivelarsi più incisivi</w:t>
      </w:r>
      <w:r w:rsidR="001D1821">
        <w:t xml:space="preserve"> nei pazienti più piccoli (ricordiamo che il cervello è “plastico” e che tale plasticità decresce con l’età)</w:t>
      </w:r>
      <w:r w:rsidR="00CE2F20">
        <w:t>. Anche se</w:t>
      </w:r>
      <w:r w:rsidR="001D1821">
        <w:t xml:space="preserve"> non ci si deve illudere di ar</w:t>
      </w:r>
      <w:r w:rsidR="00CE2F20">
        <w:t>r</w:t>
      </w:r>
      <w:r w:rsidR="001D1821">
        <w:t>iva</w:t>
      </w:r>
      <w:r w:rsidR="00CE2F20">
        <w:t xml:space="preserve">re a risolvere tutti i problemi, si può </w:t>
      </w:r>
      <w:r w:rsidR="00EA41DA">
        <w:t xml:space="preserve">comunque </w:t>
      </w:r>
      <w:r w:rsidR="00CE2F20">
        <w:t>sperare in un miglioramento</w:t>
      </w:r>
      <w:r w:rsidR="00EA41DA">
        <w:t>.</w:t>
      </w:r>
      <w:r w:rsidR="00CE2F20" w:rsidRPr="00CE2F20">
        <w:t xml:space="preserve"> </w:t>
      </w:r>
    </w:p>
    <w:p w14:paraId="33C55600" w14:textId="54D49B46" w:rsidR="00EA41DA" w:rsidRDefault="00CB2069" w:rsidP="00EA41DA">
      <w:r>
        <w:t>Il progetto prevede la collaborazione di numerosi centri clinici e biomedici, ognuno caratterizzato da un alto livello di competenza specifica</w:t>
      </w:r>
      <w:r w:rsidR="00C41019">
        <w:t>:</w:t>
      </w:r>
    </w:p>
    <w:p w14:paraId="7B83FAD7" w14:textId="45858384" w:rsidR="00BB689E" w:rsidRDefault="00BB689E" w:rsidP="00EA41DA">
      <w:r>
        <w:t>-Il gruppo clinico proponente, afferente alla Facoltà di Medicina di Bologna, in collaborazione con altri clinici specialistici</w:t>
      </w:r>
      <w:r w:rsidR="005718AC">
        <w:t xml:space="preserve"> di sedi diverse</w:t>
      </w:r>
      <w:r>
        <w:t xml:space="preserve">, </w:t>
      </w:r>
      <w:r w:rsidR="005718AC">
        <w:t>si occup</w:t>
      </w:r>
      <w:r w:rsidR="001708CE">
        <w:t>a</w:t>
      </w:r>
      <w:r w:rsidR="005718AC">
        <w:t xml:space="preserve"> dell’arruolamento dei pazienti ed </w:t>
      </w:r>
      <w:r>
        <w:t>effettu</w:t>
      </w:r>
      <w:r w:rsidR="001708CE">
        <w:t>a</w:t>
      </w:r>
      <w:r>
        <w:t xml:space="preserve"> un’anamnesi particolarmente approfondita, numerosi test psicologici e comportamentali e l’EEG. I test genetici s</w:t>
      </w:r>
      <w:r w:rsidR="001708CE">
        <w:t>o</w:t>
      </w:r>
      <w:r>
        <w:t xml:space="preserve">no già effettuati al momento dell’arruolamento. </w:t>
      </w:r>
    </w:p>
    <w:p w14:paraId="2A5104B4" w14:textId="70994FFE" w:rsidR="00BB689E" w:rsidRDefault="00366FD6" w:rsidP="00EA41DA">
      <w:r>
        <w:t xml:space="preserve">-Un gruppo dell’Università di Bologna </w:t>
      </w:r>
      <w:r w:rsidR="00BB689E">
        <w:t>valuterà numerosi parametri indice di</w:t>
      </w:r>
      <w:r>
        <w:t xml:space="preserve"> stress ossidativo, alcuni parametri relativi all’infiammazione, alcuni parametri relativi alla permeabilità intestinale, </w:t>
      </w:r>
      <w:r w:rsidR="00BB689E">
        <w:t>l</w:t>
      </w:r>
      <w:r>
        <w:t>’espressione di geni relativi al rit</w:t>
      </w:r>
      <w:r w:rsidR="00BB689E">
        <w:t xml:space="preserve">mo circadiano, la concentrazione di cloro negli eritrociti e </w:t>
      </w:r>
      <w:r>
        <w:t>gli effetti in vitro di campi elettromagnetici e di nuove formulazioni di antiossidanti</w:t>
      </w:r>
      <w:r w:rsidR="00BB689E">
        <w:t xml:space="preserve"> sulle caratteristiche morfologiche e funzionali dei globuli rossi.  </w:t>
      </w:r>
    </w:p>
    <w:p w14:paraId="4D9418AB" w14:textId="7B55B999" w:rsidR="00366FD6" w:rsidRDefault="00BB689E" w:rsidP="00EA41DA">
      <w:r>
        <w:t>-Un gruppo dell’Università di Ancona valuterà la plasticità della membrana eritrocitaria e l’attività di un enzima di membrana</w:t>
      </w:r>
      <w:r w:rsidR="00C41019">
        <w:t xml:space="preserve"> particolarmente rilevante</w:t>
      </w:r>
      <w:r>
        <w:t xml:space="preserve">. </w:t>
      </w:r>
    </w:p>
    <w:p w14:paraId="19453680" w14:textId="21045F3E" w:rsidR="00BB689E" w:rsidRDefault="00BB689E" w:rsidP="00EA41DA">
      <w:r>
        <w:t>-Un gruppo d</w:t>
      </w:r>
      <w:r w:rsidR="005718AC">
        <w:t>e</w:t>
      </w:r>
      <w:r>
        <w:t>ll</w:t>
      </w:r>
      <w:r w:rsidR="005718AC">
        <w:t xml:space="preserve">’Università di Urbino </w:t>
      </w:r>
      <w:r w:rsidR="00C41019">
        <w:t>utilizzerà la</w:t>
      </w:r>
      <w:r w:rsidR="005718AC">
        <w:t xml:space="preserve"> </w:t>
      </w:r>
      <w:r w:rsidR="00C41019">
        <w:t xml:space="preserve">microscopia elettronica a scansione per compiere </w:t>
      </w:r>
      <w:r w:rsidR="005718AC">
        <w:t xml:space="preserve">osservazioni </w:t>
      </w:r>
      <w:r w:rsidR="00C41019">
        <w:t>sulla morfologia eritrocitaria</w:t>
      </w:r>
      <w:r w:rsidR="005718AC">
        <w:t>.</w:t>
      </w:r>
    </w:p>
    <w:p w14:paraId="4B2EA89D" w14:textId="77777777" w:rsidR="005718AC" w:rsidRDefault="005718AC" w:rsidP="00EA41DA">
      <w:r>
        <w:t xml:space="preserve">-Un gruppo del CNR di Bologna studierà i globuli rossi con una nuova tecnica </w:t>
      </w:r>
      <w:proofErr w:type="spellStart"/>
      <w:r>
        <w:t>rifrattometrica</w:t>
      </w:r>
      <w:proofErr w:type="spellEnd"/>
      <w:r>
        <w:t xml:space="preserve"> ed effettuerà un’analisi </w:t>
      </w:r>
      <w:proofErr w:type="spellStart"/>
      <w:r>
        <w:t>lipidomica</w:t>
      </w:r>
      <w:proofErr w:type="spellEnd"/>
      <w:r>
        <w:t>.</w:t>
      </w:r>
    </w:p>
    <w:p w14:paraId="387FEDDB" w14:textId="23EF411E" w:rsidR="005718AC" w:rsidRDefault="005718AC" w:rsidP="00EA41DA">
      <w:r>
        <w:t>-Un gruppo dell’Università di Bologna studierà il microbiota intestinale.</w:t>
      </w:r>
    </w:p>
    <w:p w14:paraId="54C35C06" w14:textId="2F9C7645" w:rsidR="005718AC" w:rsidRDefault="005718AC" w:rsidP="00EA41DA">
      <w:r>
        <w:t>-Un gruppo dell’</w:t>
      </w:r>
      <w:r w:rsidR="001708CE">
        <w:t>U</w:t>
      </w:r>
      <w:r>
        <w:t xml:space="preserve">niversità di Cagliari effettuerà un’analisi del </w:t>
      </w:r>
      <w:proofErr w:type="spellStart"/>
      <w:r>
        <w:t>metaboloma</w:t>
      </w:r>
      <w:proofErr w:type="spellEnd"/>
      <w:r>
        <w:t xml:space="preserve"> plasmatico e urinario, con quantificazione degli acidi grassi a catena breve e degli oppioidi endogeni.</w:t>
      </w:r>
    </w:p>
    <w:p w14:paraId="2CA1DD63" w14:textId="42C30919" w:rsidR="005718AC" w:rsidRDefault="005718AC" w:rsidP="00EA41DA">
      <w:r>
        <w:t>-Un gruppo del CNR di Bari studierà il DNA mitocondriale e l’attività degli enzimi mitocondriali.</w:t>
      </w:r>
    </w:p>
    <w:p w14:paraId="6571331F" w14:textId="3F949B54" w:rsidR="005718AC" w:rsidRDefault="005718AC" w:rsidP="00EA41DA">
      <w:r>
        <w:t>-Un gruppo dell’Università di Pisa studierà l’assetto epigenetico di alcu</w:t>
      </w:r>
      <w:r w:rsidR="00C41019">
        <w:t>n</w:t>
      </w:r>
      <w:r>
        <w:t>i geni rilevanti per l’autismo.</w:t>
      </w:r>
    </w:p>
    <w:p w14:paraId="60A7FA98" w14:textId="0043012D" w:rsidR="005718AC" w:rsidRDefault="005718AC" w:rsidP="00EA41DA">
      <w:r>
        <w:t>-Due gruppi della Fondazione Don Gnocchi di Milano completeranno lo studio della permeabilità intestinale e dell</w:t>
      </w:r>
      <w:r w:rsidR="00C41019">
        <w:t>’attivazione immunitaria ed effettueranno studi di immunogenetica.</w:t>
      </w:r>
    </w:p>
    <w:p w14:paraId="1EC4E9C7" w14:textId="7EFCE8A9" w:rsidR="005718AC" w:rsidRDefault="00C41019" w:rsidP="00EA41DA">
      <w:r>
        <w:lastRenderedPageBreak/>
        <w:t>-Infine, i dati saranno studiati da esperti afferenti a una Fondazione lombarda, che si avvarrà dei metodi dell’Intelligenza artificiale per estrarre, dalle centinaia di dati acquisiti, le informazioni rilevanti per individuare sottogruppi “biologici”, come spiegato nella parte introduttiva.</w:t>
      </w:r>
    </w:p>
    <w:p w14:paraId="7ACC4AA3" w14:textId="156FCC92" w:rsidR="00CB2069" w:rsidRDefault="00EA41DA">
      <w:r w:rsidRPr="00EA41DA">
        <w:rPr>
          <w:b/>
        </w:rPr>
        <w:t>Sol</w:t>
      </w:r>
      <w:r w:rsidR="0028725F">
        <w:rPr>
          <w:b/>
        </w:rPr>
        <w:t>tant</w:t>
      </w:r>
      <w:r w:rsidRPr="00EA41DA">
        <w:rPr>
          <w:b/>
        </w:rPr>
        <w:t>o dalla ricerca può venire qualche risposta ai problemi di questi pazienti e delle loro famiglie.</w:t>
      </w:r>
    </w:p>
    <w:p w14:paraId="0A583E0A" w14:textId="77777777" w:rsidR="00CE2F20" w:rsidRDefault="00CE2F20">
      <w:r>
        <w:t xml:space="preserve">Note organizzative: </w:t>
      </w:r>
    </w:p>
    <w:p w14:paraId="7650AB9E" w14:textId="1D5677CA" w:rsidR="00CE2F20" w:rsidRDefault="00CE2F20">
      <w:r>
        <w:t>I pazienti dovranno essere portati per la valutazi</w:t>
      </w:r>
      <w:r w:rsidR="00EA41DA">
        <w:t>one al centro clinico designato, dove saranno</w:t>
      </w:r>
      <w:r>
        <w:t xml:space="preserve"> sottoposti a prelievo, consegn</w:t>
      </w:r>
      <w:r w:rsidR="00EA41DA">
        <w:t>eranno</w:t>
      </w:r>
      <w:r>
        <w:t xml:space="preserve"> campioni di feci e di urina, e </w:t>
      </w:r>
      <w:r w:rsidR="00EB2864">
        <w:t xml:space="preserve">saranno </w:t>
      </w:r>
      <w:r>
        <w:t xml:space="preserve">valutati clinicamente. </w:t>
      </w:r>
      <w:r w:rsidR="00EA41DA">
        <w:t>Gli esiti di alcune analisi saranno disponibili nel giro di qualche giorno, ma per la valutazione finale si dovrà attendere il completamento dello studio.</w:t>
      </w:r>
    </w:p>
    <w:sectPr w:rsidR="00CE2F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dobe Gothic Std B">
    <w:altName w:val="Yu Gothic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069"/>
    <w:rsid w:val="001708CE"/>
    <w:rsid w:val="001D1821"/>
    <w:rsid w:val="00267731"/>
    <w:rsid w:val="002850D2"/>
    <w:rsid w:val="0028725F"/>
    <w:rsid w:val="00366FD6"/>
    <w:rsid w:val="00382C17"/>
    <w:rsid w:val="003D06F7"/>
    <w:rsid w:val="004017F4"/>
    <w:rsid w:val="004E0417"/>
    <w:rsid w:val="00505E46"/>
    <w:rsid w:val="005718AC"/>
    <w:rsid w:val="005C5F53"/>
    <w:rsid w:val="00672DCE"/>
    <w:rsid w:val="006A3086"/>
    <w:rsid w:val="006A682B"/>
    <w:rsid w:val="006F3B88"/>
    <w:rsid w:val="00824C54"/>
    <w:rsid w:val="0086309A"/>
    <w:rsid w:val="00967F68"/>
    <w:rsid w:val="009E4452"/>
    <w:rsid w:val="00AF355B"/>
    <w:rsid w:val="00B01B42"/>
    <w:rsid w:val="00BB689E"/>
    <w:rsid w:val="00C41019"/>
    <w:rsid w:val="00CB2069"/>
    <w:rsid w:val="00CE2F20"/>
    <w:rsid w:val="00EA41DA"/>
    <w:rsid w:val="00EB2864"/>
    <w:rsid w:val="00EC428F"/>
    <w:rsid w:val="00F11546"/>
    <w:rsid w:val="00F30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01464"/>
  <w15:chartTrackingRefBased/>
  <w15:docId w15:val="{03D6682D-D639-4FD0-BEF1-7E7822E44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CB206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CB2069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F303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03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1583</TotalTime>
  <Pages>3</Pages>
  <Words>1031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Marini</dc:creator>
  <cp:keywords/>
  <dc:description/>
  <cp:lastModifiedBy>Hanau Carlo</cp:lastModifiedBy>
  <cp:revision>6</cp:revision>
  <dcterms:created xsi:type="dcterms:W3CDTF">2023-05-09T21:49:00Z</dcterms:created>
  <dcterms:modified xsi:type="dcterms:W3CDTF">2023-05-13T10:23:00Z</dcterms:modified>
</cp:coreProperties>
</file>